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1000" w14:textId="000060ED" w:rsidR="003F3EC9" w:rsidRPr="00736C1B" w:rsidRDefault="00824196" w:rsidP="000D659E">
      <w:pPr>
        <w:pStyle w:val="Heading4"/>
        <w:jc w:val="center"/>
        <w:rPr>
          <w:bCs/>
          <w:color w:val="333333"/>
          <w:szCs w:val="21"/>
          <w:shd w:val="clear" w:color="auto" w:fill="FFFFFF"/>
        </w:rPr>
      </w:pPr>
      <w:r w:rsidRPr="000D659E">
        <w:rPr>
          <w:b/>
          <w:bCs/>
          <w:color w:val="333333"/>
          <w:szCs w:val="21"/>
          <w:shd w:val="clear" w:color="auto" w:fill="FFFFFF"/>
        </w:rPr>
        <w:t>I</w:t>
      </w:r>
      <w:r w:rsidR="003B07D1" w:rsidRPr="000D659E">
        <w:rPr>
          <w:b/>
          <w:bCs/>
          <w:color w:val="333333"/>
          <w:szCs w:val="21"/>
          <w:shd w:val="clear" w:color="auto" w:fill="FFFFFF"/>
        </w:rPr>
        <w:t>PI</w:t>
      </w:r>
      <w:r w:rsidR="003B07D1">
        <w:rPr>
          <w:rFonts w:asciiTheme="minorHAnsi" w:hAnsiTheme="minorHAnsi" w:cstheme="minorHAnsi"/>
          <w:b/>
          <w:bCs/>
          <w:color w:val="333333"/>
          <w:szCs w:val="21"/>
          <w:shd w:val="clear" w:color="auto" w:fill="FFFFFF"/>
        </w:rPr>
        <w:t xml:space="preserve"> </w:t>
      </w:r>
      <w:r w:rsidR="003F3EC9" w:rsidRPr="000D659E">
        <w:rPr>
          <w:rFonts w:asciiTheme="minorHAnsi" w:hAnsiTheme="minorHAnsi" w:cstheme="minorHAnsi"/>
          <w:b/>
          <w:bCs/>
          <w:color w:val="333333"/>
          <w:szCs w:val="21"/>
          <w:shd w:val="clear" w:color="auto" w:fill="FFFFFF"/>
        </w:rPr>
        <w:t>A</w:t>
      </w:r>
      <w:r w:rsidR="00EC6103">
        <w:rPr>
          <w:rFonts w:asciiTheme="minorHAnsi" w:hAnsiTheme="minorHAnsi" w:cstheme="minorHAnsi"/>
          <w:b/>
          <w:bCs/>
          <w:color w:val="333333"/>
          <w:szCs w:val="21"/>
          <w:shd w:val="clear" w:color="auto" w:fill="FFFFFF"/>
        </w:rPr>
        <w:t>nnex</w:t>
      </w:r>
      <w:r w:rsidR="003F3EC9" w:rsidRPr="000D659E">
        <w:rPr>
          <w:rFonts w:asciiTheme="minorHAnsi" w:hAnsiTheme="minorHAnsi" w:cstheme="minorHAnsi"/>
          <w:b/>
          <w:bCs/>
          <w:color w:val="333333"/>
          <w:szCs w:val="21"/>
          <w:shd w:val="clear" w:color="auto" w:fill="FFFFFF"/>
        </w:rPr>
        <w:t xml:space="preserve"> </w:t>
      </w:r>
    </w:p>
    <w:p w14:paraId="69712ABB" w14:textId="781E7905" w:rsidR="00CE41BF" w:rsidRPr="000D659E" w:rsidRDefault="002D6488" w:rsidP="00FB0720">
      <w:pPr>
        <w:pStyle w:val="Heading4"/>
        <w:jc w:val="center"/>
        <w:rPr>
          <w:rFonts w:asciiTheme="minorHAnsi" w:hAnsiTheme="minorHAnsi" w:cstheme="minorHAnsi"/>
          <w:b/>
          <w:bCs/>
          <w:color w:val="333333"/>
          <w:szCs w:val="21"/>
          <w:shd w:val="clear" w:color="auto" w:fill="FFFFFF"/>
        </w:rPr>
      </w:pPr>
      <w:bookmarkStart w:id="0" w:name="_regarding_the"/>
      <w:bookmarkEnd w:id="0"/>
      <w:r w:rsidRPr="000D659E">
        <w:rPr>
          <w:b/>
          <w:bCs/>
          <w:color w:val="333333"/>
          <w:szCs w:val="21"/>
          <w:shd w:val="clear" w:color="auto" w:fill="FFFFFF"/>
        </w:rPr>
        <w:t xml:space="preserve">Regarding the </w:t>
      </w:r>
      <w:r w:rsidR="00D279DE" w:rsidRPr="000D659E">
        <w:rPr>
          <w:b/>
          <w:bCs/>
          <w:color w:val="333333"/>
          <w:szCs w:val="21"/>
          <w:shd w:val="clear" w:color="auto" w:fill="FFFFFF"/>
        </w:rPr>
        <w:t>a</w:t>
      </w:r>
      <w:r w:rsidR="0065486B" w:rsidRPr="000D659E">
        <w:rPr>
          <w:rFonts w:asciiTheme="minorHAnsi" w:hAnsiTheme="minorHAnsi" w:cstheme="minorHAnsi"/>
          <w:b/>
          <w:bCs/>
          <w:color w:val="333333"/>
          <w:szCs w:val="21"/>
          <w:shd w:val="clear" w:color="auto" w:fill="FFFFFF"/>
        </w:rPr>
        <w:t xml:space="preserve">pplication of </w:t>
      </w:r>
      <w:r w:rsidR="004A797C" w:rsidRPr="000D659E">
        <w:rPr>
          <w:rFonts w:asciiTheme="minorHAnsi" w:hAnsiTheme="minorHAnsi" w:cstheme="minorHAnsi"/>
          <w:b/>
          <w:bCs/>
          <w:color w:val="333333"/>
          <w:szCs w:val="21"/>
          <w:shd w:val="clear" w:color="auto" w:fill="FFFFFF"/>
        </w:rPr>
        <w:t xml:space="preserve">an IPI Measure </w:t>
      </w:r>
      <w:r w:rsidR="008B06A0" w:rsidRPr="000D659E">
        <w:rPr>
          <w:rFonts w:asciiTheme="minorHAnsi" w:hAnsiTheme="minorHAnsi" w:cstheme="minorHAnsi"/>
          <w:b/>
          <w:bCs/>
          <w:color w:val="333333"/>
          <w:szCs w:val="21"/>
          <w:shd w:val="clear" w:color="auto" w:fill="FFFFFF"/>
        </w:rPr>
        <w:t xml:space="preserve">(made </w:t>
      </w:r>
      <w:r w:rsidR="003F3EC9" w:rsidRPr="000D659E">
        <w:rPr>
          <w:rFonts w:asciiTheme="minorHAnsi" w:hAnsiTheme="minorHAnsi" w:cstheme="minorHAnsi"/>
          <w:b/>
          <w:bCs/>
          <w:color w:val="333333"/>
          <w:szCs w:val="21"/>
          <w:shd w:val="clear" w:color="auto" w:fill="FFFFFF"/>
        </w:rPr>
        <w:t xml:space="preserve">pursuant to </w:t>
      </w:r>
      <w:r w:rsidR="00F204C2" w:rsidRPr="000D659E">
        <w:rPr>
          <w:rFonts w:asciiTheme="minorHAnsi" w:hAnsiTheme="minorHAnsi" w:cstheme="minorHAnsi"/>
          <w:b/>
          <w:bCs/>
          <w:color w:val="333333"/>
          <w:szCs w:val="21"/>
          <w:shd w:val="clear" w:color="auto" w:fill="FFFFFF"/>
        </w:rPr>
        <w:t>Regulation</w:t>
      </w:r>
      <w:r w:rsidR="003F3EC9" w:rsidRPr="000D659E">
        <w:rPr>
          <w:rFonts w:asciiTheme="minorHAnsi" w:hAnsiTheme="minorHAnsi" w:cstheme="minorHAnsi"/>
          <w:b/>
          <w:bCs/>
          <w:color w:val="333333"/>
          <w:szCs w:val="21"/>
          <w:shd w:val="clear" w:color="auto" w:fill="FFFFFF"/>
        </w:rPr>
        <w:t xml:space="preserve"> </w:t>
      </w:r>
      <w:r w:rsidR="00CC2973" w:rsidRPr="000D659E">
        <w:rPr>
          <w:rFonts w:asciiTheme="minorHAnsi" w:hAnsiTheme="minorHAnsi" w:cstheme="minorHAnsi"/>
          <w:b/>
          <w:bCs/>
          <w:color w:val="333333"/>
          <w:szCs w:val="21"/>
          <w:shd w:val="clear" w:color="auto" w:fill="FFFFFF"/>
        </w:rPr>
        <w:t>2022/1031</w:t>
      </w:r>
      <w:r w:rsidR="008B06A0" w:rsidRPr="000D659E">
        <w:rPr>
          <w:rFonts w:asciiTheme="minorHAnsi" w:hAnsiTheme="minorHAnsi" w:cstheme="minorHAnsi"/>
          <w:b/>
          <w:bCs/>
          <w:color w:val="333333"/>
          <w:szCs w:val="21"/>
          <w:shd w:val="clear" w:color="auto" w:fill="FFFFFF"/>
        </w:rPr>
        <w:t xml:space="preserve"> – the International Procurement Instrument)</w:t>
      </w:r>
      <w:r w:rsidR="003F3EC9" w:rsidRPr="000D659E">
        <w:rPr>
          <w:rFonts w:asciiTheme="minorHAnsi" w:hAnsiTheme="minorHAnsi" w:cstheme="minorHAnsi"/>
          <w:b/>
          <w:bCs/>
          <w:color w:val="333333"/>
          <w:szCs w:val="21"/>
          <w:shd w:val="clear" w:color="auto" w:fill="FFFFFF"/>
        </w:rPr>
        <w:t xml:space="preserve"> </w:t>
      </w:r>
      <w:r w:rsidR="00A15EF9" w:rsidRPr="000D659E">
        <w:rPr>
          <w:rFonts w:asciiTheme="minorHAnsi" w:hAnsiTheme="minorHAnsi" w:cstheme="minorHAnsi"/>
          <w:b/>
          <w:bCs/>
          <w:color w:val="333333"/>
          <w:szCs w:val="21"/>
          <w:shd w:val="clear" w:color="auto" w:fill="FFFFFF"/>
        </w:rPr>
        <w:t>to the Competition</w:t>
      </w:r>
    </w:p>
    <w:p w14:paraId="2769CB02" w14:textId="77777777" w:rsidR="005A1D95" w:rsidRPr="00CA798B" w:rsidRDefault="005A1D95" w:rsidP="00C55479">
      <w:pPr>
        <w:jc w:val="both"/>
      </w:pPr>
    </w:p>
    <w:sdt>
      <w:sdtPr>
        <w:id w:val="-1920633918"/>
        <w:placeholder>
          <w:docPart w:val="DefaultPlaceholder_-1854013440"/>
        </w:placeholder>
        <w:showingPlcHdr/>
      </w:sdtPr>
      <w:sdtEndPr>
        <w:rPr>
          <w:rFonts w:eastAsiaTheme="majorEastAsia"/>
          <w:color w:val="2E74B5" w:themeColor="accent1" w:themeShade="BF"/>
          <w:sz w:val="24"/>
          <w:szCs w:val="24"/>
          <w:lang w:val="en-GB" w:eastAsia="en-GB"/>
        </w:rPr>
      </w:sdtEndPr>
      <w:sdtContent>
        <w:p w14:paraId="57A59E72" w14:textId="36438A11" w:rsidR="00F152D6" w:rsidRPr="00A37BC1" w:rsidRDefault="00A37BC1" w:rsidP="00A37BC1">
          <w:r w:rsidRPr="00F63806">
            <w:rPr>
              <w:rStyle w:val="PlaceholderText"/>
            </w:rPr>
            <w:t>Click or tap here to enter text.</w:t>
          </w:r>
        </w:p>
      </w:sdtContent>
    </w:sdt>
    <w:p w14:paraId="6A65F1EC" w14:textId="1B20D498" w:rsidR="006A4A4C" w:rsidRDefault="008B06A0" w:rsidP="008B06A0">
      <w:pPr>
        <w:rPr>
          <w:b/>
          <w:szCs w:val="22"/>
        </w:rPr>
      </w:pPr>
      <w:r>
        <w:rPr>
          <w:b/>
          <w:szCs w:val="22"/>
        </w:rPr>
        <w:t>Applicant/Tenderer Note: Where the Particulars state that an IPI measure applies to the Competition, this A</w:t>
      </w:r>
      <w:r w:rsidR="00D279DE">
        <w:rPr>
          <w:b/>
          <w:szCs w:val="22"/>
        </w:rPr>
        <w:t>nnex</w:t>
      </w:r>
      <w:r w:rsidR="000E5208">
        <w:rPr>
          <w:b/>
          <w:szCs w:val="22"/>
        </w:rPr>
        <w:t xml:space="preserve"> </w:t>
      </w:r>
      <w:r w:rsidR="00D279DE">
        <w:rPr>
          <w:b/>
          <w:szCs w:val="22"/>
        </w:rPr>
        <w:t xml:space="preserve">forms part of </w:t>
      </w:r>
      <w:r>
        <w:rPr>
          <w:b/>
          <w:szCs w:val="22"/>
        </w:rPr>
        <w:t xml:space="preserve">the Suitability Assessment Questionnaire. </w:t>
      </w:r>
    </w:p>
    <w:p w14:paraId="59CE7451" w14:textId="77777777" w:rsidR="00C5127A" w:rsidRDefault="00C5127A">
      <w:pPr>
        <w:rPr>
          <w:b/>
        </w:rPr>
      </w:pPr>
    </w:p>
    <w:p w14:paraId="7D1A6464" w14:textId="184CEA8A" w:rsidR="002258A2" w:rsidRPr="000D659E" w:rsidRDefault="002258A2">
      <w:pPr>
        <w:rPr>
          <w:b/>
        </w:rPr>
      </w:pPr>
      <w:r>
        <w:rPr>
          <w:b/>
        </w:rPr>
        <w:t xml:space="preserve">EU Regulation 2022/1031 – the International Procurement Instrument </w:t>
      </w:r>
    </w:p>
    <w:p w14:paraId="64BA3984" w14:textId="55887F98" w:rsidR="00BF2C23" w:rsidRDefault="0034612C" w:rsidP="0034612C">
      <w:pPr>
        <w:rPr>
          <w:szCs w:val="22"/>
        </w:rPr>
      </w:pPr>
      <w:r w:rsidRPr="003F3EC9">
        <w:rPr>
          <w:szCs w:val="22"/>
        </w:rPr>
        <w:t>Pursuant to EU Regulation 2022/1031 on the International Procurement Instrument (</w:t>
      </w:r>
      <w:r w:rsidR="00450032">
        <w:rPr>
          <w:szCs w:val="22"/>
        </w:rPr>
        <w:t xml:space="preserve">the </w:t>
      </w:r>
      <w:r w:rsidRPr="003F3EC9">
        <w:rPr>
          <w:szCs w:val="22"/>
        </w:rPr>
        <w:t>‘IPI</w:t>
      </w:r>
      <w:r w:rsidR="00100769">
        <w:rPr>
          <w:szCs w:val="22"/>
        </w:rPr>
        <w:t xml:space="preserve"> Regulation</w:t>
      </w:r>
      <w:r w:rsidRPr="003F3EC9">
        <w:rPr>
          <w:szCs w:val="22"/>
        </w:rPr>
        <w:t xml:space="preserve">’), the European Commission may adopt </w:t>
      </w:r>
      <w:r w:rsidR="00AC7E88">
        <w:rPr>
          <w:szCs w:val="22"/>
        </w:rPr>
        <w:t xml:space="preserve">implementing </w:t>
      </w:r>
      <w:r w:rsidRPr="003F3EC9">
        <w:rPr>
          <w:szCs w:val="22"/>
        </w:rPr>
        <w:t>measures known as “IPI measures” which affect tenderers from third countries</w:t>
      </w:r>
      <w:r w:rsidRPr="003F3EC9">
        <w:rPr>
          <w:szCs w:val="22"/>
          <w:vertAlign w:val="superscript"/>
        </w:rPr>
        <w:footnoteReference w:id="1"/>
      </w:r>
      <w:r w:rsidRPr="000D659E">
        <w:rPr>
          <w:szCs w:val="22"/>
        </w:rPr>
        <w:t>.</w:t>
      </w:r>
      <w:r w:rsidRPr="003F3EC9">
        <w:rPr>
          <w:szCs w:val="22"/>
        </w:rPr>
        <w:t xml:space="preserve"> Contracting Authorities are obliged to follow any IPI measure that has been put in </w:t>
      </w:r>
      <w:r w:rsidR="00C64EE2" w:rsidRPr="003F3EC9">
        <w:rPr>
          <w:szCs w:val="22"/>
        </w:rPr>
        <w:t xml:space="preserve">place </w:t>
      </w:r>
      <w:r w:rsidR="00C64EE2">
        <w:rPr>
          <w:szCs w:val="22"/>
        </w:rPr>
        <w:t>by</w:t>
      </w:r>
      <w:r w:rsidRPr="003F3EC9">
        <w:rPr>
          <w:szCs w:val="22"/>
        </w:rPr>
        <w:t xml:space="preserve"> the European Commission. </w:t>
      </w:r>
    </w:p>
    <w:p w14:paraId="6DA11ADA" w14:textId="3AF289F6" w:rsidR="0034612C" w:rsidRDefault="0034612C" w:rsidP="0034612C">
      <w:pPr>
        <w:rPr>
          <w:szCs w:val="22"/>
        </w:rPr>
      </w:pPr>
      <w:r w:rsidRPr="00CC2973">
        <w:rPr>
          <w:szCs w:val="22"/>
        </w:rPr>
        <w:t>Where an IPI measure applies to th</w:t>
      </w:r>
      <w:r w:rsidR="00AC7E88">
        <w:rPr>
          <w:szCs w:val="22"/>
        </w:rPr>
        <w:t>e</w:t>
      </w:r>
      <w:r w:rsidRPr="00CC2973">
        <w:rPr>
          <w:szCs w:val="22"/>
        </w:rPr>
        <w:t xml:space="preserve"> Competition (having regard to the estimated value of the contract</w:t>
      </w:r>
      <w:r w:rsidRPr="003F3EC9">
        <w:rPr>
          <w:szCs w:val="22"/>
          <w:vertAlign w:val="superscript"/>
        </w:rPr>
        <w:footnoteReference w:id="2"/>
      </w:r>
      <w:r w:rsidRPr="003F3EC9">
        <w:rPr>
          <w:szCs w:val="22"/>
        </w:rPr>
        <w:t>, the scope of application of the IPI measure, or the date on which the IPI measure was made</w:t>
      </w:r>
      <w:r w:rsidRPr="003F3EC9">
        <w:rPr>
          <w:szCs w:val="22"/>
          <w:vertAlign w:val="superscript"/>
        </w:rPr>
        <w:footnoteReference w:id="3"/>
      </w:r>
      <w:r w:rsidRPr="003F3EC9">
        <w:rPr>
          <w:szCs w:val="22"/>
        </w:rPr>
        <w:t>), the Contracting Authority may be obliged to give effect to that IPI measure by way of:</w:t>
      </w:r>
    </w:p>
    <w:p w14:paraId="58900904" w14:textId="7093C2C8" w:rsidR="0034612C" w:rsidRPr="00F204C2" w:rsidRDefault="006A4A4C" w:rsidP="0034612C">
      <w:pPr>
        <w:pStyle w:val="ListParagraph"/>
        <w:numPr>
          <w:ilvl w:val="0"/>
          <w:numId w:val="2"/>
        </w:numPr>
        <w:rPr>
          <w:szCs w:val="22"/>
        </w:rPr>
      </w:pPr>
      <w:r>
        <w:rPr>
          <w:szCs w:val="22"/>
        </w:rPr>
        <w:t>i</w:t>
      </w:r>
      <w:r w:rsidR="0034612C" w:rsidRPr="00F204C2">
        <w:rPr>
          <w:szCs w:val="22"/>
        </w:rPr>
        <w:t xml:space="preserve">mposing a score adjustment on a Tenderer which originates in a country which is subject to an IPI measure; </w:t>
      </w:r>
    </w:p>
    <w:p w14:paraId="28B6C6FB" w14:textId="6FA46751" w:rsidR="0034612C" w:rsidRPr="00F204C2" w:rsidRDefault="006A4A4C" w:rsidP="0034612C">
      <w:pPr>
        <w:pStyle w:val="ListParagraph"/>
        <w:numPr>
          <w:ilvl w:val="0"/>
          <w:numId w:val="2"/>
        </w:numPr>
        <w:rPr>
          <w:szCs w:val="22"/>
        </w:rPr>
      </w:pPr>
      <w:r>
        <w:rPr>
          <w:szCs w:val="22"/>
        </w:rPr>
        <w:t>e</w:t>
      </w:r>
      <w:r w:rsidR="0034612C" w:rsidRPr="00F204C2">
        <w:rPr>
          <w:szCs w:val="22"/>
        </w:rPr>
        <w:t>xcluding a Tenderer which originates in a country which is subject to an IPI measure; and/or</w:t>
      </w:r>
    </w:p>
    <w:p w14:paraId="4FE77BB8" w14:textId="6BD4646E" w:rsidR="004A1ADB" w:rsidRDefault="006A4A4C" w:rsidP="000D659E">
      <w:pPr>
        <w:pStyle w:val="ListParagraph"/>
        <w:numPr>
          <w:ilvl w:val="0"/>
          <w:numId w:val="2"/>
        </w:numPr>
      </w:pPr>
      <w:r>
        <w:rPr>
          <w:szCs w:val="22"/>
        </w:rPr>
        <w:t>s</w:t>
      </w:r>
      <w:r w:rsidR="0034612C" w:rsidRPr="00CC2973">
        <w:rPr>
          <w:szCs w:val="22"/>
        </w:rPr>
        <w:t xml:space="preserve">uch other steps as may be determined by the European Commission and set out in the relevant IPI measure. </w:t>
      </w:r>
    </w:p>
    <w:p w14:paraId="51F7D4CE" w14:textId="66E4C2BB" w:rsidR="0034612C" w:rsidRPr="004A1ADB" w:rsidRDefault="0034612C" w:rsidP="0034612C">
      <w:pPr>
        <w:rPr>
          <w:szCs w:val="22"/>
        </w:rPr>
      </w:pPr>
      <w:r w:rsidRPr="00CC2973">
        <w:rPr>
          <w:szCs w:val="22"/>
        </w:rPr>
        <w:t xml:space="preserve">Where the </w:t>
      </w:r>
      <w:r w:rsidR="00CE41BF" w:rsidRPr="00BD4968">
        <w:rPr>
          <w:szCs w:val="22"/>
        </w:rPr>
        <w:t>C</w:t>
      </w:r>
      <w:r w:rsidRPr="00BD4968">
        <w:rPr>
          <w:szCs w:val="22"/>
        </w:rPr>
        <w:t xml:space="preserve">ontract is </w:t>
      </w:r>
      <w:r w:rsidR="00990BF5">
        <w:rPr>
          <w:szCs w:val="22"/>
        </w:rPr>
        <w:t xml:space="preserve">subject to an IPI </w:t>
      </w:r>
      <w:proofErr w:type="gramStart"/>
      <w:r w:rsidR="00990BF5">
        <w:rPr>
          <w:szCs w:val="22"/>
        </w:rPr>
        <w:t>measure</w:t>
      </w:r>
      <w:proofErr w:type="gramEnd"/>
      <w:r w:rsidR="00990BF5">
        <w:rPr>
          <w:szCs w:val="22"/>
        </w:rPr>
        <w:t xml:space="preserve"> </w:t>
      </w:r>
      <w:r w:rsidRPr="00BD4968">
        <w:rPr>
          <w:szCs w:val="22"/>
        </w:rPr>
        <w:t xml:space="preserve">the following </w:t>
      </w:r>
      <w:r w:rsidR="00990BF5">
        <w:rPr>
          <w:szCs w:val="22"/>
        </w:rPr>
        <w:t>obligations shall apply to the successful tenderer</w:t>
      </w:r>
      <w:r w:rsidRPr="004A1ADB">
        <w:rPr>
          <w:szCs w:val="22"/>
        </w:rPr>
        <w:t>:</w:t>
      </w:r>
    </w:p>
    <w:p w14:paraId="2BABD541" w14:textId="7632E43E" w:rsidR="0034612C" w:rsidRPr="004A1ADB" w:rsidRDefault="0034612C" w:rsidP="0034612C">
      <w:pPr>
        <w:pStyle w:val="ListParagraph"/>
        <w:numPr>
          <w:ilvl w:val="0"/>
          <w:numId w:val="3"/>
        </w:numPr>
        <w:rPr>
          <w:szCs w:val="22"/>
        </w:rPr>
      </w:pPr>
      <w:r w:rsidRPr="004A1ADB">
        <w:rPr>
          <w:szCs w:val="22"/>
        </w:rPr>
        <w:t xml:space="preserve">the successful </w:t>
      </w:r>
      <w:r w:rsidR="006A4A4C">
        <w:rPr>
          <w:szCs w:val="22"/>
        </w:rPr>
        <w:t>T</w:t>
      </w:r>
      <w:r w:rsidRPr="004A1ADB">
        <w:rPr>
          <w:szCs w:val="22"/>
        </w:rPr>
        <w:t>enderer may not subcontract more than 50% of the total value of the contract to economic operators originating in a country which is subject to an IPI measure;</w:t>
      </w:r>
    </w:p>
    <w:p w14:paraId="7A20E019" w14:textId="3DE852EC" w:rsidR="0034612C" w:rsidRPr="00C64EE2" w:rsidRDefault="0034612C" w:rsidP="0034612C">
      <w:pPr>
        <w:pStyle w:val="ListParagraph"/>
        <w:numPr>
          <w:ilvl w:val="0"/>
          <w:numId w:val="3"/>
        </w:numPr>
        <w:rPr>
          <w:szCs w:val="22"/>
        </w:rPr>
      </w:pPr>
      <w:r w:rsidRPr="004A1ADB">
        <w:rPr>
          <w:szCs w:val="22"/>
        </w:rPr>
        <w:t>for contracts whose subject matter covers the supply of goods, the successful Tenderer shall ensure for the duration of the contract that goods or services supplied or provided in the execution of the contract and originating in the third</w:t>
      </w:r>
      <w:r w:rsidRPr="002258A2">
        <w:rPr>
          <w:szCs w:val="22"/>
        </w:rPr>
        <w:t xml:space="preserve"> country which is subject to the IPI </w:t>
      </w:r>
      <w:r w:rsidRPr="002258A2">
        <w:rPr>
          <w:szCs w:val="22"/>
        </w:rPr>
        <w:lastRenderedPageBreak/>
        <w:t xml:space="preserve">measure represent no more than 50 % of the total value of the contract, irrespective of whether such goods or services are supplied or provided directly by the successful </w:t>
      </w:r>
      <w:r w:rsidR="003B07D1">
        <w:rPr>
          <w:szCs w:val="22"/>
        </w:rPr>
        <w:t>T</w:t>
      </w:r>
      <w:r w:rsidRPr="002258A2">
        <w:rPr>
          <w:szCs w:val="22"/>
        </w:rPr>
        <w:t>enderer or by a subcontractor;</w:t>
      </w:r>
    </w:p>
    <w:p w14:paraId="5A4215D8" w14:textId="6EFD3604" w:rsidR="0034612C" w:rsidRPr="00AC7E88" w:rsidRDefault="0034612C" w:rsidP="0034612C">
      <w:pPr>
        <w:pStyle w:val="ListParagraph"/>
        <w:numPr>
          <w:ilvl w:val="0"/>
          <w:numId w:val="3"/>
        </w:numPr>
        <w:rPr>
          <w:szCs w:val="22"/>
        </w:rPr>
      </w:pPr>
      <w:r w:rsidRPr="00CA798B">
        <w:rPr>
          <w:szCs w:val="22"/>
        </w:rPr>
        <w:t xml:space="preserve">the successful </w:t>
      </w:r>
      <w:r w:rsidR="006A4A4C">
        <w:rPr>
          <w:szCs w:val="22"/>
        </w:rPr>
        <w:t>T</w:t>
      </w:r>
      <w:r w:rsidRPr="00CA798B">
        <w:rPr>
          <w:szCs w:val="22"/>
        </w:rPr>
        <w:t>enderer shall provide to the Contracting Authority upon request adequate evidence cor</w:t>
      </w:r>
      <w:r w:rsidRPr="00AC7E88">
        <w:rPr>
          <w:szCs w:val="22"/>
        </w:rPr>
        <w:t xml:space="preserve">responding to point (i) or (ii), at the latest upon completion of the execution of the contract; </w:t>
      </w:r>
    </w:p>
    <w:p w14:paraId="5874699F" w14:textId="12715228" w:rsidR="00CA798B" w:rsidRDefault="0034612C">
      <w:pPr>
        <w:pStyle w:val="ListParagraph"/>
        <w:numPr>
          <w:ilvl w:val="0"/>
          <w:numId w:val="3"/>
        </w:numPr>
        <w:rPr>
          <w:szCs w:val="22"/>
        </w:rPr>
      </w:pPr>
      <w:r w:rsidRPr="00AC7E88">
        <w:rPr>
          <w:szCs w:val="22"/>
        </w:rPr>
        <w:t xml:space="preserve">the successful </w:t>
      </w:r>
      <w:r w:rsidR="006A4A4C">
        <w:rPr>
          <w:szCs w:val="22"/>
        </w:rPr>
        <w:t>T</w:t>
      </w:r>
      <w:r w:rsidRPr="00AC7E88">
        <w:rPr>
          <w:szCs w:val="22"/>
        </w:rPr>
        <w:t>enderer will be obliged to pay a proportionate charge in the event of non-observance of the obligations referred in point (i) or (ii) of between 10 % and 30 % of the total value of the contract</w:t>
      </w:r>
      <w:r w:rsidR="00CA798B">
        <w:rPr>
          <w:szCs w:val="22"/>
        </w:rPr>
        <w:t>.</w:t>
      </w:r>
    </w:p>
    <w:p w14:paraId="196C7A2C" w14:textId="20698C58" w:rsidR="004A1ADB" w:rsidRDefault="004A1ADB" w:rsidP="006B0D5D">
      <w:pPr>
        <w:pStyle w:val="ListParagraph"/>
        <w:rPr>
          <w:szCs w:val="22"/>
        </w:rPr>
      </w:pPr>
    </w:p>
    <w:p w14:paraId="02A9C3D7" w14:textId="7336D3E9" w:rsidR="0034612C" w:rsidRPr="004A1ADB" w:rsidRDefault="0034612C" w:rsidP="006B0D5D">
      <w:pPr>
        <w:rPr>
          <w:szCs w:val="22"/>
        </w:rPr>
      </w:pPr>
      <w:r w:rsidRPr="004A1ADB">
        <w:rPr>
          <w:szCs w:val="22"/>
        </w:rPr>
        <w:t>The Contracting Authority may, on an exceptional basis, decide not to apply an IPI measure where:</w:t>
      </w:r>
    </w:p>
    <w:p w14:paraId="45CAD05E" w14:textId="0C39CE35" w:rsidR="0034612C" w:rsidRPr="004A1ADB" w:rsidRDefault="0034612C" w:rsidP="006B0D5D">
      <w:pPr>
        <w:pStyle w:val="ListParagraph"/>
        <w:numPr>
          <w:ilvl w:val="0"/>
          <w:numId w:val="4"/>
        </w:numPr>
        <w:rPr>
          <w:szCs w:val="22"/>
        </w:rPr>
      </w:pPr>
      <w:r w:rsidRPr="004A1ADB">
        <w:rPr>
          <w:szCs w:val="22"/>
        </w:rPr>
        <w:t xml:space="preserve">Only </w:t>
      </w:r>
      <w:r w:rsidR="00990BF5">
        <w:rPr>
          <w:szCs w:val="22"/>
        </w:rPr>
        <w:t>t</w:t>
      </w:r>
      <w:r w:rsidRPr="004A1ADB">
        <w:rPr>
          <w:szCs w:val="22"/>
        </w:rPr>
        <w:t>enderers originating in countries subject to an IPI measure meet the tender requirements; or</w:t>
      </w:r>
    </w:p>
    <w:p w14:paraId="10A88803" w14:textId="77777777" w:rsidR="0034612C" w:rsidRPr="004A1ADB" w:rsidRDefault="0034612C" w:rsidP="006B0D5D">
      <w:pPr>
        <w:pStyle w:val="ListParagraph"/>
        <w:numPr>
          <w:ilvl w:val="0"/>
          <w:numId w:val="4"/>
        </w:numPr>
        <w:rPr>
          <w:szCs w:val="22"/>
        </w:rPr>
      </w:pPr>
      <w:r w:rsidRPr="004A1ADB">
        <w:rPr>
          <w:szCs w:val="22"/>
        </w:rPr>
        <w:t>Justified for overriding reasons relating to the public interest.</w:t>
      </w:r>
    </w:p>
    <w:p w14:paraId="2C7687C0" w14:textId="6C384916" w:rsidR="0034612C" w:rsidRPr="004A1ADB" w:rsidRDefault="0034612C" w:rsidP="0034612C">
      <w:pPr>
        <w:rPr>
          <w:szCs w:val="22"/>
        </w:rPr>
      </w:pPr>
    </w:p>
    <w:p w14:paraId="2E32DBFF" w14:textId="35BC9BB5" w:rsidR="002258A2" w:rsidRDefault="002258A2" w:rsidP="000D659E">
      <w:pPr>
        <w:tabs>
          <w:tab w:val="clear" w:pos="851"/>
          <w:tab w:val="clear" w:pos="4762"/>
        </w:tabs>
        <w:spacing w:after="160" w:line="259" w:lineRule="auto"/>
        <w:rPr>
          <w:b/>
          <w:szCs w:val="22"/>
        </w:rPr>
      </w:pPr>
      <w:r>
        <w:rPr>
          <w:b/>
          <w:szCs w:val="22"/>
        </w:rPr>
        <w:t>IPI measures applicable to the Competition</w:t>
      </w:r>
    </w:p>
    <w:p w14:paraId="75DA5436" w14:textId="580E456A" w:rsidR="00BF2C23" w:rsidRDefault="0028146E" w:rsidP="00BF2C23">
      <w:sdt>
        <w:sdtPr>
          <w:id w:val="1031841846"/>
          <w:placeholder>
            <w:docPart w:val="AE8D4EA7C49E4E6BB115C03660929FC1"/>
          </w:placeholder>
        </w:sdtPr>
        <w:sdtEndPr/>
        <w:sdtContent>
          <w:r w:rsidR="00564476">
            <w:t xml:space="preserve"> </w:t>
          </w:r>
        </w:sdtContent>
      </w:sdt>
    </w:p>
    <w:p w14:paraId="483090E1" w14:textId="783204E2" w:rsidR="00564476" w:rsidRDefault="00564476" w:rsidP="00BF2C23">
      <w:pPr>
        <w:rPr>
          <w:szCs w:val="22"/>
        </w:rPr>
      </w:pPr>
    </w:p>
    <w:p w14:paraId="6960977D" w14:textId="3862042E" w:rsidR="00564476" w:rsidRDefault="00564476">
      <w:pPr>
        <w:rPr>
          <w:szCs w:val="22"/>
        </w:rPr>
      </w:pPr>
      <w:r w:rsidRPr="003F3EC9">
        <w:rPr>
          <w:szCs w:val="22"/>
        </w:rPr>
        <w:t xml:space="preserve">Where an IPI measure </w:t>
      </w:r>
      <w:r w:rsidRPr="00F204C2">
        <w:rPr>
          <w:szCs w:val="22"/>
        </w:rPr>
        <w:t>applies to th</w:t>
      </w:r>
      <w:r>
        <w:rPr>
          <w:szCs w:val="22"/>
        </w:rPr>
        <w:t>e</w:t>
      </w:r>
      <w:r w:rsidRPr="00BD4968">
        <w:rPr>
          <w:szCs w:val="22"/>
        </w:rPr>
        <w:t xml:space="preserve"> Competition, </w:t>
      </w:r>
      <w:r w:rsidR="00677CC7" w:rsidRPr="000D659E">
        <w:rPr>
          <w:b/>
          <w:szCs w:val="22"/>
        </w:rPr>
        <w:t xml:space="preserve">all </w:t>
      </w:r>
      <w:r w:rsidRPr="000D659E">
        <w:rPr>
          <w:b/>
          <w:szCs w:val="22"/>
        </w:rPr>
        <w:t>Applicants</w:t>
      </w:r>
      <w:r w:rsidR="00100769" w:rsidRPr="000D659E">
        <w:rPr>
          <w:b/>
          <w:szCs w:val="22"/>
        </w:rPr>
        <w:t>/Tenderers</w:t>
      </w:r>
      <w:r w:rsidRPr="00BD4968">
        <w:rPr>
          <w:szCs w:val="22"/>
        </w:rPr>
        <w:t xml:space="preserve"> are obliged to declare </w:t>
      </w:r>
      <w:r w:rsidR="000E5208">
        <w:rPr>
          <w:szCs w:val="22"/>
        </w:rPr>
        <w:t>(</w:t>
      </w:r>
      <w:r w:rsidR="00FB0720">
        <w:rPr>
          <w:szCs w:val="22"/>
        </w:rPr>
        <w:t>b</w:t>
      </w:r>
      <w:r w:rsidR="00632D97">
        <w:rPr>
          <w:szCs w:val="22"/>
        </w:rPr>
        <w:t xml:space="preserve">y way of </w:t>
      </w:r>
      <w:r w:rsidR="00FB0720">
        <w:rPr>
          <w:szCs w:val="22"/>
        </w:rPr>
        <w:t>the Applicant Declaration in Part 2 of the Questionnaire</w:t>
      </w:r>
      <w:r w:rsidR="000E5208">
        <w:rPr>
          <w:szCs w:val="22"/>
        </w:rPr>
        <w:t>)</w:t>
      </w:r>
      <w:r w:rsidR="00FB0720">
        <w:rPr>
          <w:szCs w:val="22"/>
        </w:rPr>
        <w:t xml:space="preserve"> </w:t>
      </w:r>
      <w:r w:rsidRPr="00BD4968">
        <w:rPr>
          <w:szCs w:val="22"/>
        </w:rPr>
        <w:t xml:space="preserve">whether they originate in a country </w:t>
      </w:r>
      <w:r w:rsidR="00100769">
        <w:rPr>
          <w:szCs w:val="22"/>
        </w:rPr>
        <w:t xml:space="preserve">that </w:t>
      </w:r>
      <w:r w:rsidRPr="00BD4968">
        <w:rPr>
          <w:szCs w:val="22"/>
        </w:rPr>
        <w:t xml:space="preserve">is subject </w:t>
      </w:r>
      <w:r w:rsidR="00100769">
        <w:rPr>
          <w:szCs w:val="22"/>
        </w:rPr>
        <w:t xml:space="preserve">to the </w:t>
      </w:r>
      <w:r w:rsidRPr="00BD4968">
        <w:rPr>
          <w:szCs w:val="22"/>
        </w:rPr>
        <w:t>IPI measure</w:t>
      </w:r>
      <w:r w:rsidR="00100769">
        <w:rPr>
          <w:szCs w:val="22"/>
        </w:rPr>
        <w:t>(s) listed above</w:t>
      </w:r>
      <w:r w:rsidRPr="00BD4968">
        <w:rPr>
          <w:szCs w:val="22"/>
        </w:rPr>
        <w:t xml:space="preserve">. </w:t>
      </w:r>
    </w:p>
    <w:p w14:paraId="5226EC12" w14:textId="77777777" w:rsidR="000E5208" w:rsidRDefault="000E5208">
      <w:pPr>
        <w:rPr>
          <w:i/>
          <w:sz w:val="20"/>
        </w:rPr>
      </w:pPr>
    </w:p>
    <w:p w14:paraId="643EC51F" w14:textId="306D27C0" w:rsidR="000E5208" w:rsidRDefault="00AC7E88">
      <w:pPr>
        <w:rPr>
          <w:szCs w:val="22"/>
        </w:rPr>
      </w:pPr>
      <w:r w:rsidRPr="004D0EA7">
        <w:rPr>
          <w:szCs w:val="22"/>
        </w:rPr>
        <w:t xml:space="preserve">The Contracting Authority may also seek information from Applicants/Tenderers, should it deem appropriate to do so, to ascertain the country of origin of any Applicant/Tenderer (pursuant to the rules on determining origin set out in </w:t>
      </w:r>
      <w:r w:rsidR="00100769">
        <w:rPr>
          <w:szCs w:val="22"/>
        </w:rPr>
        <w:t xml:space="preserve">the IPI </w:t>
      </w:r>
      <w:r w:rsidR="000E5208">
        <w:rPr>
          <w:szCs w:val="22"/>
        </w:rPr>
        <w:t>Instrument</w:t>
      </w:r>
      <w:r w:rsidRPr="004D0EA7">
        <w:rPr>
          <w:szCs w:val="22"/>
        </w:rPr>
        <w:t>) for the purposes of verifying whether it is subject to an IPI measure.</w:t>
      </w:r>
    </w:p>
    <w:p w14:paraId="118CFC96" w14:textId="12006711" w:rsidR="004A797C" w:rsidRPr="003F3EC9" w:rsidRDefault="000E5208">
      <w:pPr>
        <w:rPr>
          <w:szCs w:val="22"/>
        </w:rPr>
      </w:pPr>
      <w:r w:rsidRPr="000D659E">
        <w:rPr>
          <w:b/>
          <w:szCs w:val="22"/>
        </w:rPr>
        <w:t>[END]</w:t>
      </w:r>
    </w:p>
    <w:sectPr w:rsidR="004A797C" w:rsidRPr="003F3EC9" w:rsidSect="006B0D5D">
      <w:headerReference w:type="even" r:id="rId8"/>
      <w:headerReference w:type="default" r:id="rId9"/>
      <w:footerReference w:type="default" r:id="rId10"/>
      <w:headerReference w:type="first" r:id="rId11"/>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96FC" w14:textId="77777777" w:rsidR="0028146E" w:rsidRDefault="0028146E" w:rsidP="0034612C">
      <w:pPr>
        <w:spacing w:after="0" w:line="240" w:lineRule="auto"/>
      </w:pPr>
      <w:r>
        <w:separator/>
      </w:r>
    </w:p>
  </w:endnote>
  <w:endnote w:type="continuationSeparator" w:id="0">
    <w:p w14:paraId="3EEBA63B" w14:textId="77777777" w:rsidR="0028146E" w:rsidRDefault="0028146E" w:rsidP="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E941" w14:textId="17BE2C17" w:rsidR="0034612C" w:rsidRDefault="00450032">
    <w:pPr>
      <w:pStyle w:val="Footer"/>
    </w:pPr>
    <w:r>
      <w:t xml:space="preserve">IPI </w:t>
    </w:r>
    <w:r w:rsidR="003B07D1">
      <w:t xml:space="preserve">Annex </w:t>
    </w:r>
    <w:r w:rsidR="0034612C">
      <w:t xml:space="preserve">v1.0 </w:t>
    </w:r>
    <w:r w:rsidR="000D659E">
      <w:t>18</w:t>
    </w:r>
    <w:r w:rsidR="0034612C">
      <w:t>/</w:t>
    </w:r>
    <w:r w:rsidR="000D659E">
      <w:t>11</w:t>
    </w:r>
    <w:r w:rsidR="0034612C">
      <w:t>/202</w:t>
    </w:r>
    <w:r w:rsidR="00706DDC">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CCDC" w14:textId="77777777" w:rsidR="0028146E" w:rsidRDefault="0028146E" w:rsidP="0034612C">
      <w:pPr>
        <w:spacing w:after="0" w:line="240" w:lineRule="auto"/>
      </w:pPr>
      <w:r>
        <w:separator/>
      </w:r>
    </w:p>
  </w:footnote>
  <w:footnote w:type="continuationSeparator" w:id="0">
    <w:p w14:paraId="593F5665" w14:textId="77777777" w:rsidR="0028146E" w:rsidRDefault="0028146E" w:rsidP="0034612C">
      <w:pPr>
        <w:spacing w:after="0" w:line="240" w:lineRule="auto"/>
      </w:pPr>
      <w:r>
        <w:continuationSeparator/>
      </w:r>
    </w:p>
  </w:footnote>
  <w:footnote w:id="1">
    <w:p w14:paraId="7A5F9B98" w14:textId="2164367D" w:rsidR="0034612C" w:rsidRPr="0000041F" w:rsidRDefault="0034612C" w:rsidP="000D659E">
      <w:pPr>
        <w:pStyle w:val="FootnoteText"/>
        <w:tabs>
          <w:tab w:val="clear" w:pos="851"/>
        </w:tabs>
        <w:spacing w:after="0"/>
        <w:ind w:left="284" w:hanging="284"/>
      </w:pPr>
      <w:r w:rsidRPr="00D22751">
        <w:rPr>
          <w:rStyle w:val="FootnoteReference"/>
        </w:rPr>
        <w:footnoteRef/>
      </w:r>
      <w:r w:rsidRPr="00D22751">
        <w:t xml:space="preserve"> </w:t>
      </w:r>
      <w:r>
        <w:tab/>
      </w:r>
      <w:r w:rsidRPr="0000041F">
        <w:t>Third country means countries that are not in either the EU, the World Trade Organisation GPA, or that do not have a bilateral or multilateral treaty with the EU with regard to procurement. A</w:t>
      </w:r>
      <w:r w:rsidR="00CA5427">
        <w:t>n Applicant’s/</w:t>
      </w:r>
      <w:r w:rsidRPr="0000041F">
        <w:t xml:space="preserve"> Tenderer’s origins are determined as follows:</w:t>
      </w:r>
    </w:p>
    <w:p w14:paraId="40E0FE25" w14:textId="77777777" w:rsidR="0034612C" w:rsidRPr="0000041F" w:rsidRDefault="0034612C" w:rsidP="0034612C">
      <w:pPr>
        <w:pStyle w:val="FootnoteText"/>
        <w:numPr>
          <w:ilvl w:val="0"/>
          <w:numId w:val="1"/>
        </w:numPr>
        <w:spacing w:after="0"/>
        <w:ind w:left="714" w:hanging="357"/>
      </w:pPr>
      <w:r w:rsidRPr="0000041F">
        <w:t>For natural persons, the country of which they are a national, or where they have a right of permanent residence.</w:t>
      </w:r>
    </w:p>
    <w:p w14:paraId="1282A8E3" w14:textId="77777777" w:rsidR="0034612C" w:rsidRPr="0000041F" w:rsidRDefault="0034612C" w:rsidP="0034612C">
      <w:pPr>
        <w:pStyle w:val="FootnoteText"/>
        <w:numPr>
          <w:ilvl w:val="0"/>
          <w:numId w:val="1"/>
        </w:numPr>
        <w:spacing w:after="0"/>
        <w:ind w:left="714" w:hanging="357"/>
      </w:pPr>
      <w:r w:rsidRPr="0000041F">
        <w:t>For legal persons, the country under the laws of which the legal entity is constituted or otherwise organised and in the territory of which the legal person is engaged in substantive business operations.</w:t>
      </w:r>
    </w:p>
    <w:p w14:paraId="3995BEF8" w14:textId="77777777" w:rsidR="0034612C" w:rsidRPr="0000041F" w:rsidRDefault="0034612C" w:rsidP="0034612C">
      <w:pPr>
        <w:pStyle w:val="FootnoteText"/>
        <w:numPr>
          <w:ilvl w:val="0"/>
          <w:numId w:val="1"/>
        </w:numPr>
        <w:spacing w:after="0"/>
        <w:ind w:left="714" w:hanging="357"/>
      </w:pPr>
      <w:r w:rsidRPr="0000041F">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40CBF3E7" w14:textId="344363C3" w:rsidR="0034612C" w:rsidRPr="0000041F" w:rsidRDefault="0034612C" w:rsidP="000D659E">
      <w:pPr>
        <w:pStyle w:val="FootnoteText"/>
        <w:numPr>
          <w:ilvl w:val="0"/>
          <w:numId w:val="1"/>
        </w:numPr>
        <w:spacing w:after="0" w:line="240" w:lineRule="auto"/>
        <w:ind w:left="709" w:hanging="283"/>
      </w:pPr>
      <w:r w:rsidRPr="0000041F">
        <w:t xml:space="preserve">Where a </w:t>
      </w:r>
      <w:r w:rsidR="002B0CEF">
        <w:t>T</w:t>
      </w:r>
      <w:r w:rsidRPr="0000041F">
        <w: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w:t>
      </w:r>
      <w:r w:rsidR="00632D97">
        <w:t xml:space="preserve"> % </w:t>
      </w:r>
      <w:r w:rsidRPr="0000041F">
        <w:t xml:space="preserve">of the value of the tender submitted by the group or consortium, save where the entity subject to the IPI measure is necessary to fulfil the majority of at least one selection criterion.   </w:t>
      </w:r>
    </w:p>
  </w:footnote>
  <w:footnote w:id="2">
    <w:p w14:paraId="6B58CD84" w14:textId="17ABAD4A" w:rsidR="0034612C" w:rsidRPr="0000041F" w:rsidRDefault="0034612C" w:rsidP="000D659E">
      <w:pPr>
        <w:pStyle w:val="FootnoteText"/>
        <w:tabs>
          <w:tab w:val="clear" w:pos="851"/>
          <w:tab w:val="left" w:pos="284"/>
        </w:tabs>
        <w:spacing w:after="0"/>
      </w:pPr>
      <w:r w:rsidRPr="0000041F">
        <w:rPr>
          <w:rStyle w:val="FootnoteReference"/>
        </w:rPr>
        <w:footnoteRef/>
      </w:r>
      <w:r w:rsidRPr="0000041F">
        <w:t xml:space="preserve"> Where the estimated value of the contract is above €5m (Services) and €15m (Works). </w:t>
      </w:r>
    </w:p>
  </w:footnote>
  <w:footnote w:id="3">
    <w:p w14:paraId="48D130AC" w14:textId="7A251032" w:rsidR="0034612C" w:rsidRPr="00D22751" w:rsidRDefault="0034612C" w:rsidP="000D659E">
      <w:pPr>
        <w:pStyle w:val="FootnoteText"/>
        <w:tabs>
          <w:tab w:val="clear" w:pos="851"/>
        </w:tabs>
      </w:pPr>
      <w:r w:rsidRPr="0000041F">
        <w:rPr>
          <w:rStyle w:val="FootnoteReference"/>
        </w:rPr>
        <w:footnoteRef/>
      </w:r>
      <w:r w:rsidRPr="0000041F">
        <w:t xml:space="preserve"> 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A5FFB" w14:textId="316EA97A" w:rsidR="0034612C" w:rsidRDefault="003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237C" w14:textId="7D68825C" w:rsidR="00167F34" w:rsidRDefault="00167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14B2" w14:textId="617DC801" w:rsidR="0034612C" w:rsidRDefault="00346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294"/>
    <w:multiLevelType w:val="hybridMultilevel"/>
    <w:tmpl w:val="8F46D54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16692"/>
    <w:multiLevelType w:val="hybridMultilevel"/>
    <w:tmpl w:val="652CA774"/>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 w15:restartNumberingAfterBreak="0">
    <w:nsid w:val="13F56297"/>
    <w:multiLevelType w:val="hybridMultilevel"/>
    <w:tmpl w:val="25B022E2"/>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702012"/>
    <w:multiLevelType w:val="hybridMultilevel"/>
    <w:tmpl w:val="0B4A5676"/>
    <w:lvl w:ilvl="0" w:tplc="18090017">
      <w:start w:val="1"/>
      <w:numFmt w:val="lowerLetter"/>
      <w:lvlText w:val="%1)"/>
      <w:lvlJc w:val="left"/>
      <w:pPr>
        <w:ind w:left="1072" w:hanging="360"/>
      </w:pPr>
    </w:lvl>
    <w:lvl w:ilvl="1" w:tplc="18090019" w:tentative="1">
      <w:start w:val="1"/>
      <w:numFmt w:val="lowerLetter"/>
      <w:lvlText w:val="%2."/>
      <w:lvlJc w:val="left"/>
      <w:pPr>
        <w:ind w:left="1792" w:hanging="360"/>
      </w:pPr>
    </w:lvl>
    <w:lvl w:ilvl="2" w:tplc="1809001B" w:tentative="1">
      <w:start w:val="1"/>
      <w:numFmt w:val="lowerRoman"/>
      <w:lvlText w:val="%3."/>
      <w:lvlJc w:val="right"/>
      <w:pPr>
        <w:ind w:left="2512" w:hanging="180"/>
      </w:pPr>
    </w:lvl>
    <w:lvl w:ilvl="3" w:tplc="1809000F" w:tentative="1">
      <w:start w:val="1"/>
      <w:numFmt w:val="decimal"/>
      <w:lvlText w:val="%4."/>
      <w:lvlJc w:val="left"/>
      <w:pPr>
        <w:ind w:left="3232" w:hanging="360"/>
      </w:pPr>
    </w:lvl>
    <w:lvl w:ilvl="4" w:tplc="18090019" w:tentative="1">
      <w:start w:val="1"/>
      <w:numFmt w:val="lowerLetter"/>
      <w:lvlText w:val="%5."/>
      <w:lvlJc w:val="left"/>
      <w:pPr>
        <w:ind w:left="3952" w:hanging="360"/>
      </w:pPr>
    </w:lvl>
    <w:lvl w:ilvl="5" w:tplc="1809001B" w:tentative="1">
      <w:start w:val="1"/>
      <w:numFmt w:val="lowerRoman"/>
      <w:lvlText w:val="%6."/>
      <w:lvlJc w:val="right"/>
      <w:pPr>
        <w:ind w:left="4672" w:hanging="180"/>
      </w:pPr>
    </w:lvl>
    <w:lvl w:ilvl="6" w:tplc="1809000F" w:tentative="1">
      <w:start w:val="1"/>
      <w:numFmt w:val="decimal"/>
      <w:lvlText w:val="%7."/>
      <w:lvlJc w:val="left"/>
      <w:pPr>
        <w:ind w:left="5392" w:hanging="360"/>
      </w:pPr>
    </w:lvl>
    <w:lvl w:ilvl="7" w:tplc="18090019" w:tentative="1">
      <w:start w:val="1"/>
      <w:numFmt w:val="lowerLetter"/>
      <w:lvlText w:val="%8."/>
      <w:lvlJc w:val="left"/>
      <w:pPr>
        <w:ind w:left="6112" w:hanging="360"/>
      </w:pPr>
    </w:lvl>
    <w:lvl w:ilvl="8" w:tplc="1809001B" w:tentative="1">
      <w:start w:val="1"/>
      <w:numFmt w:val="lowerRoman"/>
      <w:lvlText w:val="%9."/>
      <w:lvlJc w:val="right"/>
      <w:pPr>
        <w:ind w:left="6832" w:hanging="180"/>
      </w:pPr>
    </w:lvl>
  </w:abstractNum>
  <w:abstractNum w:abstractNumId="4" w15:restartNumberingAfterBreak="0">
    <w:nsid w:val="34751AB9"/>
    <w:multiLevelType w:val="hybridMultilevel"/>
    <w:tmpl w:val="B058A0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9F72C61"/>
    <w:multiLevelType w:val="hybridMultilevel"/>
    <w:tmpl w:val="A3906FE0"/>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0D06B0"/>
    <w:multiLevelType w:val="hybridMultilevel"/>
    <w:tmpl w:val="798EB2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3566CBF"/>
    <w:multiLevelType w:val="hybridMultilevel"/>
    <w:tmpl w:val="4680FC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811292">
    <w:abstractNumId w:val="3"/>
  </w:num>
  <w:num w:numId="2" w16cid:durableId="1961715846">
    <w:abstractNumId w:val="6"/>
  </w:num>
  <w:num w:numId="3" w16cid:durableId="777791946">
    <w:abstractNumId w:val="5"/>
  </w:num>
  <w:num w:numId="4" w16cid:durableId="1620453953">
    <w:abstractNumId w:val="7"/>
  </w:num>
  <w:num w:numId="5" w16cid:durableId="636836714">
    <w:abstractNumId w:val="2"/>
  </w:num>
  <w:num w:numId="6" w16cid:durableId="58751634">
    <w:abstractNumId w:val="0"/>
  </w:num>
  <w:num w:numId="7" w16cid:durableId="1742869269">
    <w:abstractNumId w:val="9"/>
  </w:num>
  <w:num w:numId="8" w16cid:durableId="1588462442">
    <w:abstractNumId w:val="8"/>
  </w:num>
  <w:num w:numId="9" w16cid:durableId="1497720011">
    <w:abstractNumId w:val="10"/>
  </w:num>
  <w:num w:numId="10" w16cid:durableId="645545594">
    <w:abstractNumId w:val="4"/>
  </w:num>
  <w:num w:numId="11" w16cid:durableId="193142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tygPotRSZ1TK0eoG33oRJEHqLa7GTHyLwkNV3z2uSWR04I2NRlxlvhcg4FPWQCotg6AZqyZjGeaqXpnInqejLg==" w:salt="WgAUX3IoPhtDv39Cf6kQ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2C"/>
    <w:rsid w:val="0004072B"/>
    <w:rsid w:val="00044FB3"/>
    <w:rsid w:val="00097B10"/>
    <w:rsid w:val="000D659E"/>
    <w:rsid w:val="000E5208"/>
    <w:rsid w:val="00100769"/>
    <w:rsid w:val="00167F34"/>
    <w:rsid w:val="001B0E8F"/>
    <w:rsid w:val="001E7B8E"/>
    <w:rsid w:val="00213081"/>
    <w:rsid w:val="002258A2"/>
    <w:rsid w:val="002409CE"/>
    <w:rsid w:val="002722C6"/>
    <w:rsid w:val="0028146E"/>
    <w:rsid w:val="002A7509"/>
    <w:rsid w:val="002B0CEF"/>
    <w:rsid w:val="002D6488"/>
    <w:rsid w:val="0034612C"/>
    <w:rsid w:val="003B07D1"/>
    <w:rsid w:val="003D53BB"/>
    <w:rsid w:val="003F3EC9"/>
    <w:rsid w:val="00445920"/>
    <w:rsid w:val="00450032"/>
    <w:rsid w:val="004A1ADB"/>
    <w:rsid w:val="004A797C"/>
    <w:rsid w:val="004B588B"/>
    <w:rsid w:val="00544A27"/>
    <w:rsid w:val="00554CD6"/>
    <w:rsid w:val="00564476"/>
    <w:rsid w:val="00593712"/>
    <w:rsid w:val="005A1D95"/>
    <w:rsid w:val="005A7177"/>
    <w:rsid w:val="00632D97"/>
    <w:rsid w:val="006351EE"/>
    <w:rsid w:val="0065486B"/>
    <w:rsid w:val="00677CC7"/>
    <w:rsid w:val="006A4A4C"/>
    <w:rsid w:val="006B0D5D"/>
    <w:rsid w:val="00706DDC"/>
    <w:rsid w:val="00736C1B"/>
    <w:rsid w:val="0079221F"/>
    <w:rsid w:val="00800C76"/>
    <w:rsid w:val="00800E69"/>
    <w:rsid w:val="00811021"/>
    <w:rsid w:val="00824196"/>
    <w:rsid w:val="00827E45"/>
    <w:rsid w:val="00831FAC"/>
    <w:rsid w:val="008656AA"/>
    <w:rsid w:val="00866E67"/>
    <w:rsid w:val="008A633F"/>
    <w:rsid w:val="008B06A0"/>
    <w:rsid w:val="008E3FA6"/>
    <w:rsid w:val="0097163F"/>
    <w:rsid w:val="00990BF5"/>
    <w:rsid w:val="009A66A0"/>
    <w:rsid w:val="009B17FB"/>
    <w:rsid w:val="009F14E9"/>
    <w:rsid w:val="009F39F5"/>
    <w:rsid w:val="00A01765"/>
    <w:rsid w:val="00A15EF9"/>
    <w:rsid w:val="00A37BC1"/>
    <w:rsid w:val="00AC7E88"/>
    <w:rsid w:val="00B471CF"/>
    <w:rsid w:val="00BB1D71"/>
    <w:rsid w:val="00BD4968"/>
    <w:rsid w:val="00BF1B35"/>
    <w:rsid w:val="00BF2C23"/>
    <w:rsid w:val="00C15E1E"/>
    <w:rsid w:val="00C402E3"/>
    <w:rsid w:val="00C5127A"/>
    <w:rsid w:val="00C55479"/>
    <w:rsid w:val="00C64EE2"/>
    <w:rsid w:val="00C70C14"/>
    <w:rsid w:val="00C82E6C"/>
    <w:rsid w:val="00C86B9C"/>
    <w:rsid w:val="00C977C0"/>
    <w:rsid w:val="00CA5427"/>
    <w:rsid w:val="00CA798B"/>
    <w:rsid w:val="00CC2973"/>
    <w:rsid w:val="00CE41BF"/>
    <w:rsid w:val="00D279DE"/>
    <w:rsid w:val="00D36463"/>
    <w:rsid w:val="00D37825"/>
    <w:rsid w:val="00D66A26"/>
    <w:rsid w:val="00D734E4"/>
    <w:rsid w:val="00E135EA"/>
    <w:rsid w:val="00E52412"/>
    <w:rsid w:val="00E939D1"/>
    <w:rsid w:val="00EC6103"/>
    <w:rsid w:val="00ED1458"/>
    <w:rsid w:val="00EF3122"/>
    <w:rsid w:val="00F152D6"/>
    <w:rsid w:val="00F204C2"/>
    <w:rsid w:val="00FB07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1EB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2C"/>
    <w:pPr>
      <w:tabs>
        <w:tab w:val="left" w:pos="851"/>
        <w:tab w:val="center" w:pos="4762"/>
      </w:tabs>
      <w:spacing w:after="60" w:line="252" w:lineRule="auto"/>
    </w:pPr>
    <w:rPr>
      <w:rFonts w:eastAsia="Times New Roman" w:cstheme="minorHAnsi"/>
      <w:szCs w:val="20"/>
      <w:lang w:val="en-US"/>
    </w:rPr>
  </w:style>
  <w:style w:type="paragraph" w:styleId="Heading1">
    <w:name w:val="heading 1"/>
    <w:basedOn w:val="Normal"/>
    <w:next w:val="Heading2"/>
    <w:link w:val="Heading1Char"/>
    <w:qFormat/>
    <w:rsid w:val="0034612C"/>
    <w:pPr>
      <w:spacing w:before="120"/>
      <w:outlineLvl w:val="0"/>
    </w:pPr>
    <w:rPr>
      <w:b/>
      <w:sz w:val="28"/>
    </w:rPr>
  </w:style>
  <w:style w:type="paragraph" w:styleId="Heading2">
    <w:name w:val="heading 2"/>
    <w:basedOn w:val="Normal"/>
    <w:next w:val="Normal"/>
    <w:link w:val="Heading2Char"/>
    <w:uiPriority w:val="9"/>
    <w:semiHidden/>
    <w:unhideWhenUsed/>
    <w:qFormat/>
    <w:rsid w:val="003461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65486B"/>
    <w:pPr>
      <w:tabs>
        <w:tab w:val="clear" w:pos="851"/>
        <w:tab w:val="clear" w:pos="4762"/>
      </w:tabs>
      <w:spacing w:after="0" w:line="240" w:lineRule="auto"/>
      <w:outlineLvl w:val="3"/>
    </w:pPr>
    <w:rPr>
      <w:rFonts w:ascii="Arial" w:hAnsi="Arial" w:cs="Times New Roman"/>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2C"/>
    <w:rPr>
      <w:rFonts w:eastAsia="Times New Roman" w:cstheme="minorHAnsi"/>
      <w:b/>
      <w:sz w:val="28"/>
      <w:szCs w:val="20"/>
      <w:lang w:val="en-US"/>
    </w:rPr>
  </w:style>
  <w:style w:type="paragraph" w:styleId="FootnoteText">
    <w:name w:val="footnote text"/>
    <w:aliases w:val="Footnote Text Char Char"/>
    <w:basedOn w:val="BlockText"/>
    <w:link w:val="FootnoteTextChar"/>
    <w:rsid w:val="0034612C"/>
    <w:pPr>
      <w:pBdr>
        <w:top w:val="none" w:sz="0" w:space="0" w:color="auto"/>
        <w:left w:val="none" w:sz="0" w:space="0" w:color="auto"/>
        <w:bottom w:val="none" w:sz="0" w:space="0" w:color="auto"/>
        <w:right w:val="none" w:sz="0" w:space="0" w:color="auto"/>
      </w:pBdr>
      <w:spacing w:after="140"/>
      <w:ind w:left="0" w:right="0"/>
    </w:pPr>
    <w:rPr>
      <w:rFonts w:eastAsia="Times New Roman" w:cstheme="minorHAnsi"/>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34612C"/>
    <w:rPr>
      <w:rFonts w:eastAsia="Times New Roman" w:cstheme="minorHAnsi"/>
      <w:sz w:val="18"/>
      <w:szCs w:val="18"/>
      <w:lang w:val="en-GB"/>
    </w:rPr>
  </w:style>
  <w:style w:type="character" w:styleId="FootnoteReference">
    <w:name w:val="footnote reference"/>
    <w:rsid w:val="0034612C"/>
    <w:rPr>
      <w:vertAlign w:val="superscript"/>
    </w:rPr>
  </w:style>
  <w:style w:type="paragraph" w:styleId="ListParagraph">
    <w:name w:val="List Paragraph"/>
    <w:basedOn w:val="Normal"/>
    <w:uiPriority w:val="34"/>
    <w:qFormat/>
    <w:rsid w:val="0034612C"/>
    <w:pPr>
      <w:ind w:left="720"/>
      <w:contextualSpacing/>
    </w:pPr>
  </w:style>
  <w:style w:type="character" w:customStyle="1" w:styleId="Heading2Char">
    <w:name w:val="Heading 2 Char"/>
    <w:basedOn w:val="DefaultParagraphFont"/>
    <w:link w:val="Heading2"/>
    <w:uiPriority w:val="9"/>
    <w:semiHidden/>
    <w:rsid w:val="0034612C"/>
    <w:rPr>
      <w:rFonts w:asciiTheme="majorHAnsi" w:eastAsiaTheme="majorEastAsia" w:hAnsiTheme="majorHAnsi" w:cstheme="majorBidi"/>
      <w:color w:val="2E74B5" w:themeColor="accent1" w:themeShade="BF"/>
      <w:sz w:val="26"/>
      <w:szCs w:val="26"/>
      <w:lang w:val="en-US"/>
    </w:rPr>
  </w:style>
  <w:style w:type="paragraph" w:styleId="BlockText">
    <w:name w:val="Block Text"/>
    <w:basedOn w:val="Normal"/>
    <w:uiPriority w:val="99"/>
    <w:semiHidden/>
    <w:unhideWhenUsed/>
    <w:rsid w:val="003461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Header">
    <w:name w:val="header"/>
    <w:basedOn w:val="Normal"/>
    <w:link w:val="HeaderChar"/>
    <w:uiPriority w:val="99"/>
    <w:unhideWhenUsed/>
    <w:rsid w:val="0034612C"/>
    <w:pPr>
      <w:tabs>
        <w:tab w:val="clear" w:pos="851"/>
        <w:tab w:val="clear" w:pos="4762"/>
        <w:tab w:val="center" w:pos="4513"/>
        <w:tab w:val="right" w:pos="9026"/>
      </w:tabs>
      <w:spacing w:after="0" w:line="240" w:lineRule="auto"/>
    </w:pPr>
  </w:style>
  <w:style w:type="character" w:customStyle="1" w:styleId="HeaderChar">
    <w:name w:val="Header Char"/>
    <w:basedOn w:val="DefaultParagraphFont"/>
    <w:link w:val="Header"/>
    <w:uiPriority w:val="99"/>
    <w:rsid w:val="0034612C"/>
    <w:rPr>
      <w:rFonts w:eastAsia="Times New Roman" w:cstheme="minorHAnsi"/>
      <w:szCs w:val="20"/>
      <w:lang w:val="en-US"/>
    </w:rPr>
  </w:style>
  <w:style w:type="paragraph" w:styleId="Footer">
    <w:name w:val="footer"/>
    <w:basedOn w:val="Normal"/>
    <w:link w:val="FooterChar"/>
    <w:uiPriority w:val="99"/>
    <w:unhideWhenUsed/>
    <w:rsid w:val="0034612C"/>
    <w:pPr>
      <w:tabs>
        <w:tab w:val="clear" w:pos="851"/>
        <w:tab w:val="clear" w:pos="4762"/>
        <w:tab w:val="center" w:pos="4513"/>
        <w:tab w:val="right" w:pos="9026"/>
      </w:tabs>
      <w:spacing w:after="0" w:line="240" w:lineRule="auto"/>
    </w:pPr>
  </w:style>
  <w:style w:type="character" w:customStyle="1" w:styleId="FooterChar">
    <w:name w:val="Footer Char"/>
    <w:basedOn w:val="DefaultParagraphFont"/>
    <w:link w:val="Footer"/>
    <w:uiPriority w:val="99"/>
    <w:rsid w:val="0034612C"/>
    <w:rPr>
      <w:rFonts w:eastAsia="Times New Roman" w:cstheme="minorHAnsi"/>
      <w:szCs w:val="20"/>
      <w:lang w:val="en-US"/>
    </w:rPr>
  </w:style>
  <w:style w:type="paragraph" w:styleId="NormalWeb">
    <w:name w:val="Normal (Web)"/>
    <w:basedOn w:val="Normal"/>
    <w:uiPriority w:val="99"/>
    <w:semiHidden/>
    <w:unhideWhenUsed/>
    <w:rsid w:val="00213081"/>
    <w:pPr>
      <w:tabs>
        <w:tab w:val="clear" w:pos="851"/>
        <w:tab w:val="clear" w:pos="4762"/>
      </w:tabs>
      <w:spacing w:before="100" w:beforeAutospacing="1" w:after="100" w:afterAutospacing="1" w:line="240" w:lineRule="auto"/>
    </w:pPr>
    <w:rPr>
      <w:rFonts w:ascii="Times New Roman" w:eastAsiaTheme="minorEastAsia" w:hAnsi="Times New Roman" w:cs="Times New Roman"/>
      <w:sz w:val="24"/>
      <w:szCs w:val="24"/>
      <w:lang w:val="en-IE" w:eastAsia="en-IE"/>
    </w:rPr>
  </w:style>
  <w:style w:type="paragraph" w:styleId="BodyText">
    <w:name w:val="Body Text"/>
    <w:basedOn w:val="Normal"/>
    <w:link w:val="BodyTextChar"/>
    <w:rsid w:val="00213081"/>
    <w:pPr>
      <w:tabs>
        <w:tab w:val="clear" w:pos="851"/>
        <w:tab w:val="clear" w:pos="47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hAnsi="Courier New" w:cs="Times New Roman"/>
      <w:color w:val="000000"/>
      <w:sz w:val="24"/>
      <w:lang w:val="en-GB"/>
    </w:rPr>
  </w:style>
  <w:style w:type="character" w:customStyle="1" w:styleId="BodyTextChar">
    <w:name w:val="Body Text Char"/>
    <w:basedOn w:val="DefaultParagraphFont"/>
    <w:link w:val="BodyText"/>
    <w:rsid w:val="00213081"/>
    <w:rPr>
      <w:rFonts w:ascii="Courier New" w:eastAsia="Times New Roman" w:hAnsi="Courier New" w:cs="Times New Roman"/>
      <w:color w:val="000000"/>
      <w:sz w:val="24"/>
      <w:szCs w:val="20"/>
      <w:lang w:val="en-GB"/>
    </w:rPr>
  </w:style>
  <w:style w:type="paragraph" w:styleId="BalloonText">
    <w:name w:val="Balloon Text"/>
    <w:basedOn w:val="Normal"/>
    <w:link w:val="BalloonTextChar"/>
    <w:uiPriority w:val="99"/>
    <w:semiHidden/>
    <w:unhideWhenUsed/>
    <w:rsid w:val="00213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81"/>
    <w:rPr>
      <w:rFonts w:ascii="Segoe UI" w:eastAsia="Times New Roman" w:hAnsi="Segoe UI" w:cs="Segoe UI"/>
      <w:sz w:val="18"/>
      <w:szCs w:val="18"/>
      <w:lang w:val="en-US"/>
    </w:rPr>
  </w:style>
  <w:style w:type="character" w:customStyle="1" w:styleId="InitialStyle">
    <w:name w:val="InitialStyle"/>
    <w:rsid w:val="006351EE"/>
    <w:rPr>
      <w:rFonts w:ascii="Courier New" w:hAnsi="Courier New" w:cs="Courier New" w:hint="default"/>
      <w:color w:val="auto"/>
      <w:spacing w:val="0"/>
      <w:sz w:val="24"/>
    </w:rPr>
  </w:style>
  <w:style w:type="character" w:customStyle="1" w:styleId="Heading4Char">
    <w:name w:val="Heading 4 Char"/>
    <w:aliases w:val="Map Title Char"/>
    <w:basedOn w:val="DefaultParagraphFont"/>
    <w:link w:val="Heading4"/>
    <w:rsid w:val="0065486B"/>
    <w:rPr>
      <w:rFonts w:ascii="Arial" w:eastAsia="Times New Roman" w:hAnsi="Arial" w:cs="Times New Roman"/>
      <w:color w:val="FF0000"/>
      <w:sz w:val="32"/>
      <w:szCs w:val="32"/>
      <w:lang w:val="en-US"/>
    </w:rPr>
  </w:style>
  <w:style w:type="character" w:styleId="PlaceholderText">
    <w:name w:val="Placeholder Text"/>
    <w:basedOn w:val="DefaultParagraphFont"/>
    <w:uiPriority w:val="99"/>
    <w:semiHidden/>
    <w:rsid w:val="005A1D95"/>
    <w:rPr>
      <w:color w:val="808080"/>
    </w:rPr>
  </w:style>
  <w:style w:type="character" w:styleId="CommentReference">
    <w:name w:val="annotation reference"/>
    <w:basedOn w:val="DefaultParagraphFont"/>
    <w:uiPriority w:val="99"/>
    <w:semiHidden/>
    <w:unhideWhenUsed/>
    <w:rsid w:val="003F3EC9"/>
    <w:rPr>
      <w:sz w:val="16"/>
      <w:szCs w:val="16"/>
    </w:rPr>
  </w:style>
  <w:style w:type="paragraph" w:styleId="CommentText">
    <w:name w:val="annotation text"/>
    <w:basedOn w:val="Normal"/>
    <w:link w:val="CommentTextChar"/>
    <w:uiPriority w:val="99"/>
    <w:semiHidden/>
    <w:unhideWhenUsed/>
    <w:rsid w:val="003F3EC9"/>
    <w:pPr>
      <w:spacing w:line="240" w:lineRule="auto"/>
    </w:pPr>
    <w:rPr>
      <w:sz w:val="20"/>
    </w:rPr>
  </w:style>
  <w:style w:type="character" w:customStyle="1" w:styleId="CommentTextChar">
    <w:name w:val="Comment Text Char"/>
    <w:basedOn w:val="DefaultParagraphFont"/>
    <w:link w:val="CommentText"/>
    <w:uiPriority w:val="99"/>
    <w:semiHidden/>
    <w:rsid w:val="003F3EC9"/>
    <w:rPr>
      <w:rFonts w:eastAsia="Times New Roman" w:cstheme="minorHAnsi"/>
      <w:sz w:val="20"/>
      <w:szCs w:val="20"/>
      <w:lang w:val="en-US"/>
    </w:rPr>
  </w:style>
  <w:style w:type="paragraph" w:styleId="CommentSubject">
    <w:name w:val="annotation subject"/>
    <w:basedOn w:val="CommentText"/>
    <w:next w:val="CommentText"/>
    <w:link w:val="CommentSubjectChar"/>
    <w:uiPriority w:val="99"/>
    <w:semiHidden/>
    <w:unhideWhenUsed/>
    <w:rsid w:val="003F3EC9"/>
    <w:rPr>
      <w:b/>
      <w:bCs/>
    </w:rPr>
  </w:style>
  <w:style w:type="character" w:customStyle="1" w:styleId="CommentSubjectChar">
    <w:name w:val="Comment Subject Char"/>
    <w:basedOn w:val="CommentTextChar"/>
    <w:link w:val="CommentSubject"/>
    <w:uiPriority w:val="99"/>
    <w:semiHidden/>
    <w:rsid w:val="003F3EC9"/>
    <w:rPr>
      <w:rFonts w:eastAsia="Times New Roman" w:cstheme="minorHAnsi"/>
      <w:b/>
      <w:bCs/>
      <w:sz w:val="20"/>
      <w:szCs w:val="20"/>
      <w:lang w:val="en-US"/>
    </w:rPr>
  </w:style>
  <w:style w:type="character" w:styleId="Hyperlink">
    <w:name w:val="Hyperlink"/>
    <w:basedOn w:val="DefaultParagraphFont"/>
    <w:uiPriority w:val="99"/>
    <w:unhideWhenUsed/>
    <w:rsid w:val="004B588B"/>
    <w:rPr>
      <w:color w:val="0563C1" w:themeColor="hyperlink"/>
      <w:u w:val="single"/>
    </w:rPr>
  </w:style>
  <w:style w:type="paragraph" w:styleId="Revision">
    <w:name w:val="Revision"/>
    <w:hidden/>
    <w:uiPriority w:val="99"/>
    <w:semiHidden/>
    <w:rsid w:val="000D659E"/>
    <w:pPr>
      <w:spacing w:after="0" w:line="240" w:lineRule="auto"/>
    </w:pPr>
    <w:rPr>
      <w:rFonts w:eastAsia="Times New Roman" w:cstheme="minorHAns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48748F8-5765-40FE-9ACA-8C6FF51671F9}"/>
      </w:docPartPr>
      <w:docPartBody>
        <w:p w:rsidR="007541B6" w:rsidRDefault="00765FFD">
          <w:r w:rsidRPr="00F63806">
            <w:rPr>
              <w:rStyle w:val="PlaceholderText"/>
            </w:rPr>
            <w:t>Click or tap here to enter text.</w:t>
          </w:r>
        </w:p>
      </w:docPartBody>
    </w:docPart>
    <w:docPart>
      <w:docPartPr>
        <w:name w:val="AE8D4EA7C49E4E6BB115C03660929FC1"/>
        <w:category>
          <w:name w:val="General"/>
          <w:gallery w:val="placeholder"/>
        </w:category>
        <w:types>
          <w:type w:val="bbPlcHdr"/>
        </w:types>
        <w:behaviors>
          <w:behavior w:val="content"/>
        </w:behaviors>
        <w:guid w:val="{CAE63F50-7A29-4249-B2FC-245A351623E0}"/>
      </w:docPartPr>
      <w:docPartBody>
        <w:p w:rsidR="0059457D" w:rsidRDefault="00181271" w:rsidP="00181271">
          <w:pPr>
            <w:pStyle w:val="AE8D4EA7C49E4E6BB115C03660929FC1"/>
          </w:pPr>
          <w:r w:rsidRPr="001061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D"/>
    <w:rsid w:val="00181271"/>
    <w:rsid w:val="003B2565"/>
    <w:rsid w:val="0059457D"/>
    <w:rsid w:val="005A7177"/>
    <w:rsid w:val="007541B6"/>
    <w:rsid w:val="00765FFD"/>
    <w:rsid w:val="009F39F5"/>
    <w:rsid w:val="00A01765"/>
    <w:rsid w:val="00BB1D71"/>
    <w:rsid w:val="00C47E02"/>
    <w:rsid w:val="00C5009B"/>
    <w:rsid w:val="00C75A50"/>
    <w:rsid w:val="00D66A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271"/>
    <w:rPr>
      <w:color w:val="808080"/>
    </w:rPr>
  </w:style>
  <w:style w:type="paragraph" w:customStyle="1" w:styleId="AE8D4EA7C49E4E6BB115C03660929FC1">
    <w:name w:val="AE8D4EA7C49E4E6BB115C03660929FC1"/>
    <w:rsid w:val="0018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2F07C40B-3421-4FB4-A322-71EF6FBD6762}">
  <ds:schemaRefs>
    <ds:schemaRef ds:uri="http://schemas.openxmlformats.org/officeDocument/2006/bibliography"/>
  </ds:schemaRefs>
</ds:datastoreItem>
</file>

<file path=customXml/itemProps2.xml><?xml version="1.0" encoding="utf-8"?>
<ds:datastoreItem xmlns:ds="http://schemas.openxmlformats.org/officeDocument/2006/customXml" ds:itemID="{8AC3F9FC-00D4-448B-8F96-EB3094E07645}"/>
</file>

<file path=customXml/itemProps3.xml><?xml version="1.0" encoding="utf-8"?>
<ds:datastoreItem xmlns:ds="http://schemas.openxmlformats.org/officeDocument/2006/customXml" ds:itemID="{05432CD9-C8BA-46DD-A2D6-6F3EB68A4FB7}"/>
</file>

<file path=customXml/itemProps4.xml><?xml version="1.0" encoding="utf-8"?>
<ds:datastoreItem xmlns:ds="http://schemas.openxmlformats.org/officeDocument/2006/customXml" ds:itemID="{9D509323-EB61-43B0-867A-476ECBD169BB}"/>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2026-06-21T07:38:00Z</dcterms:created>
  <dcterms:modified xsi:type="dcterms:W3CDTF">2026-06-21T07:38:00Z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ies>
</file>